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E2608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BOSNA I HERCEGOVINA</w:t>
      </w:r>
    </w:p>
    <w:p w14:paraId="6895F724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FEDERACIJA BOSNE I HERCEGOVINE</w:t>
      </w:r>
    </w:p>
    <w:p w14:paraId="5C371231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TUZLANSKI KANTON</w:t>
      </w:r>
    </w:p>
    <w:p w14:paraId="47C1D424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OPĆINSKI SUD U KALESIJI</w:t>
      </w:r>
    </w:p>
    <w:p w14:paraId="71F449F5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Broj, 029 0 Su 24 000171</w:t>
      </w:r>
    </w:p>
    <w:p w14:paraId="43C636E3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Datum, 10.06. 2024. godine</w:t>
      </w:r>
    </w:p>
    <w:p w14:paraId="2634781C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                             </w:t>
      </w:r>
    </w:p>
    <w:p w14:paraId="45F09540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399A923D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                                                         SKUPŠTINA TUZLANSKOG KANTONA</w:t>
      </w:r>
    </w:p>
    <w:p w14:paraId="79E90DC4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7CC20FB6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3BE1AE88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5BF16328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PREDMET: Informacija o radu suda u 2023. godini.-</w:t>
      </w:r>
    </w:p>
    <w:p w14:paraId="5675E7DF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044D36E6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213FC3B6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U izvještajnom periodu Općinski sud u Kalesiji je ostvario 100,22 % norme.</w:t>
      </w:r>
    </w:p>
    <w:p w14:paraId="2643F2C3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17C4EDEC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 Ostvareni kvalitet u periodu  01.01. - 31.12.2023. godine iznosi 82,08 %.</w:t>
      </w:r>
    </w:p>
    <w:p w14:paraId="78E82A5B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7DADEB07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Ukupan broj donesenih odluka, na koje se može izjaviti pravni lijek u ovom sudu iznosi 1521 odluke. Broj potvrđenih odluka je 151, broj preinačenih odluka je 39, broj ukinutih odluka je 51 i broj djelimično ukinutih odluka je 13.</w:t>
      </w:r>
    </w:p>
    <w:p w14:paraId="141E630E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</w:t>
      </w:r>
    </w:p>
    <w:p w14:paraId="6CCADF22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U toku 2023. godine ovaj sud je zaprimio novih 3.186 predmeta što sa brojem neriješenih predmeta sa kraja 2022. godine, od 3.467 predmeta čini broj od 6.653 predmeta u radu ovog suda tokom 2023. godine. Od navedenog broja predmeta u radu suda riješena su 3.051 predmeta tako da na kraju 2023. godine, imamo broj neriješenih predmeta od 3.601 predmeta.</w:t>
      </w:r>
    </w:p>
    <w:p w14:paraId="3DDF0D65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U odnosu na kraj 2022. godine došlo je do povećanja broja neriješenih predmeta od ukupno 134 predmeta.</w:t>
      </w:r>
    </w:p>
    <w:p w14:paraId="3111A0DA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Što se tiče broja riješenih predmeta u odnosu na priliv na krivičnom (81) i parničnom referatu (70) smo riješili veći broj predmeta u odnosu na priliv u 2023. godini.</w:t>
      </w:r>
    </w:p>
    <w:p w14:paraId="0C5497C7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izvršnom referatu zaprimili smo 607 predmeta a riješili 583 u toku godine što je povećanje za 24 predmeta.</w:t>
      </w:r>
    </w:p>
    <w:p w14:paraId="244F52D6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krivičnom referatu smo zaprimili 400 predmeta a završili 481 što je smanjenje za 81 predmet.</w:t>
      </w:r>
    </w:p>
    <w:p w14:paraId="12298F4C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parničnom referatu zaprimili smo 533 predmeta a riješili 603 što je smanjenje za 70 predmeta.</w:t>
      </w:r>
    </w:p>
    <w:p w14:paraId="5F6B08E2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prekršajnom referatu zaprimljeno je 849 predmeta a riješeno 814 što je povećanje za 35 predmeta.</w:t>
      </w:r>
    </w:p>
    <w:p w14:paraId="2840C1BC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predmetima sudske uprave zaprimljeno je 12 predmeta a riješeno 11 što je povećanje za 1 predmet.</w:t>
      </w:r>
    </w:p>
    <w:p w14:paraId="575517E5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vanparničnom referatu zaprimili smo 785 predmeta a riješili 559, što je povećanje za 226 predmeta, koje povećanje se odnosi na O-O predmete koji su upućeni notarima u rad, u toku 2023 zaprimljeno je 613 a riješeno 378 ostavinskih predmeta.</w:t>
      </w:r>
    </w:p>
    <w:p w14:paraId="76829AC8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            Samo rješavanje ostavinskih predmeta putem notara kao povjerenika, za ovaj sud već predstavlja lošu statistiku u zadnjih nekoliko godina. Neriješeni broj ostavinskih </w:t>
      </w:r>
      <w:r>
        <w:rPr>
          <w:rFonts w:ascii="Segoe UI" w:hAnsi="Segoe UI" w:cs="Segoe UI"/>
          <w:color w:val="242424"/>
          <w:sz w:val="23"/>
          <w:szCs w:val="23"/>
        </w:rPr>
        <w:lastRenderedPageBreak/>
        <w:t>predmeta je sve veći i veći iz godine u godinu. Od 227 neriješenih predmeta na kraju 2014. godine, sada na kraju 2023. godine imamo 1333 neriješena ostavinska predmeta.</w:t>
      </w:r>
    </w:p>
    <w:p w14:paraId="0B78EEC2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396C44F2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Usporedbom priliva predmeta u 2023. godini u odnosu na 2022. godinu, može se reći da je ovaj sud u toku 2023. godine, zaprimio 3186 predmeta što je u odnosu na priliv u 2022. godini manje za 33 predmeta.</w:t>
      </w:r>
    </w:p>
    <w:p w14:paraId="099DC1CC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izvršnom referatu u 2023. godini, imamo 154 predmeta veći priliv u odnosu na 2022. godinu.</w:t>
      </w:r>
    </w:p>
    <w:p w14:paraId="04206656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krivičnom referatu u 2023. godini, imamo 229 predmeta manji priliv u odnosu na 2022. godinu.</w:t>
      </w:r>
    </w:p>
    <w:p w14:paraId="6A029FB2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parničnom referatu u 2023. godini, imamo 24 predmeta manji priliv u odnosu na 2022. godinu.</w:t>
      </w:r>
    </w:p>
    <w:p w14:paraId="01B5612F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prekršajnom referatu u 2023. godini, imamo 74 predmeta veći priliv u odnosu na 2022. godinu.</w:t>
      </w:r>
    </w:p>
    <w:p w14:paraId="265E02AC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vanparničnom referatu u 2023. godini, imamo 10 predmeta manji priliv u odnosu na 2022. godinu.</w:t>
      </w:r>
    </w:p>
    <w:p w14:paraId="7F99359B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Gledajući na broj riješenih predmeta od 3051 predmeta u toku 2023. godine i usporedbom istih sa periodom tokom 2022. godine i brojem od 3152 riješenih predmeta, možemo reći da je ovaj sud riješio 101 predmeta manje u odnosu na broj riješenih predmeta u 2022. godini.</w:t>
      </w:r>
    </w:p>
    <w:p w14:paraId="33AA8A33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308488FD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Rad po starim predmetima ovog suda tj. sam plan rješavanja predmeta u sudu je ostvaren u iznosu od 80,84%. Od 1211 predmeta u planu riješili smo 979 predmeta.</w:t>
      </w:r>
    </w:p>
    <w:p w14:paraId="6788302B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6EACCECA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Po referatima:</w:t>
      </w:r>
    </w:p>
    <w:p w14:paraId="76860E2C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ind w:left="1065" w:hanging="36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-</w:t>
      </w:r>
      <w:r>
        <w:rPr>
          <w:color w:val="242424"/>
          <w:sz w:val="14"/>
          <w:szCs w:val="14"/>
          <w:bdr w:val="none" w:sz="0" w:space="0" w:color="auto" w:frame="1"/>
        </w:rPr>
        <w:t>          </w:t>
      </w:r>
      <w:r>
        <w:rPr>
          <w:rFonts w:ascii="Segoe UI" w:hAnsi="Segoe UI" w:cs="Segoe UI"/>
          <w:color w:val="242424"/>
          <w:sz w:val="23"/>
          <w:szCs w:val="23"/>
        </w:rPr>
        <w:t>Izvršno – 77,96%</w:t>
      </w:r>
    </w:p>
    <w:p w14:paraId="0FDA9251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ind w:left="1065" w:hanging="36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-</w:t>
      </w:r>
      <w:r>
        <w:rPr>
          <w:color w:val="242424"/>
          <w:sz w:val="14"/>
          <w:szCs w:val="14"/>
          <w:bdr w:val="none" w:sz="0" w:space="0" w:color="auto" w:frame="1"/>
        </w:rPr>
        <w:t>          </w:t>
      </w:r>
      <w:r>
        <w:rPr>
          <w:rFonts w:ascii="Segoe UI" w:hAnsi="Segoe UI" w:cs="Segoe UI"/>
          <w:color w:val="242424"/>
          <w:sz w:val="23"/>
          <w:szCs w:val="23"/>
        </w:rPr>
        <w:t>Krivično – 79,68%</w:t>
      </w:r>
    </w:p>
    <w:p w14:paraId="4F2BE94B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ind w:left="1065" w:hanging="36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-</w:t>
      </w:r>
      <w:r>
        <w:rPr>
          <w:color w:val="242424"/>
          <w:sz w:val="14"/>
          <w:szCs w:val="14"/>
          <w:bdr w:val="none" w:sz="0" w:space="0" w:color="auto" w:frame="1"/>
        </w:rPr>
        <w:t>          </w:t>
      </w:r>
      <w:r>
        <w:rPr>
          <w:rFonts w:ascii="Segoe UI" w:hAnsi="Segoe UI" w:cs="Segoe UI"/>
          <w:color w:val="242424"/>
          <w:sz w:val="23"/>
          <w:szCs w:val="23"/>
        </w:rPr>
        <w:t>Parnično – 75,84%</w:t>
      </w:r>
    </w:p>
    <w:p w14:paraId="62A1C11B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ind w:left="1065" w:hanging="36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-</w:t>
      </w:r>
      <w:r>
        <w:rPr>
          <w:color w:val="242424"/>
          <w:sz w:val="14"/>
          <w:szCs w:val="14"/>
          <w:bdr w:val="none" w:sz="0" w:space="0" w:color="auto" w:frame="1"/>
        </w:rPr>
        <w:t>          </w:t>
      </w:r>
      <w:r>
        <w:rPr>
          <w:rFonts w:ascii="Segoe UI" w:hAnsi="Segoe UI" w:cs="Segoe UI"/>
          <w:color w:val="242424"/>
          <w:sz w:val="23"/>
          <w:szCs w:val="23"/>
        </w:rPr>
        <w:t>Prekršajno – 99,12%</w:t>
      </w:r>
    </w:p>
    <w:p w14:paraId="727A00FF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ind w:left="1065" w:hanging="36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-</w:t>
      </w:r>
      <w:r>
        <w:rPr>
          <w:color w:val="242424"/>
          <w:sz w:val="14"/>
          <w:szCs w:val="14"/>
          <w:bdr w:val="none" w:sz="0" w:space="0" w:color="auto" w:frame="1"/>
        </w:rPr>
        <w:t>          </w:t>
      </w:r>
      <w:r>
        <w:rPr>
          <w:rFonts w:ascii="Segoe UI" w:hAnsi="Segoe UI" w:cs="Segoe UI"/>
          <w:color w:val="242424"/>
          <w:sz w:val="23"/>
          <w:szCs w:val="23"/>
        </w:rPr>
        <w:t>Vanparnično – 73,13%</w:t>
      </w:r>
    </w:p>
    <w:p w14:paraId="4D852ED2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ind w:left="1065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0962159E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Od starih predmeta imamo jedan predmet na izvršnom referatu iz 2007. godine, koji je trebao biti završen u 2023. godini ali je krajem 2023. godine proslijeđen Kantonalnom Tužilaštvu TK na uvid. Takođe na izvršnom referatu imamo 2 neriješena predmeta iz 2010. godine, jedan predmet iz 2011. godine, tri predmeta iz 2012. godine, 4 predmeta iz 2013. godine, 2 predmeta iz 2014. godine, 7 predmeta iz 2015. godine, 8 predmeta iz 2016. godine, 9 predmeta iz 2017. godine i 10 predmeta iz 2018. godine. Svi navedeni predmeti su u radu ovog suda i na njih se obaraća posebna pažnja kako bi bili završeni što prije. Većina predmeta su zavedeni pod I fazu u 2023. godini tj. prešli su iz druge faze u I fazu, pa iz tog razloga nose taj stvari stvarni datum početka.</w:t>
      </w:r>
    </w:p>
    <w:p w14:paraId="12E41462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krivičnom referatu imamo jedan predmet iz 2013. godine, jedan iz 2014. godine, jedan iz 2017. godine i 3 iz 2018. godine.</w:t>
      </w:r>
    </w:p>
    <w:p w14:paraId="52EEC01A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parničnom referatu imamo jedan predmet iz 2009. godine, jedan iz 2012. godine, dva iz 2015. godine, tri iz 2016. godine, 5 predmeta iz 2017. godine i 11 predmeta iz 2018. godine.</w:t>
      </w:r>
    </w:p>
    <w:p w14:paraId="2C4C90BF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Vanparničnom referatu imamo jedan predmet iz 2015. godine, jedan iz 2016. godine, jedan iz 2017. godine, jedan iz 2018. godine.</w:t>
      </w:r>
    </w:p>
    <w:p w14:paraId="1059A710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5A6AC2B7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Prosječno trajanje predmeta riješenih u 2023. godini je 355,52 dana.</w:t>
      </w:r>
    </w:p>
    <w:p w14:paraId="4CBCBF45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Po referatima prosječno trajanje predmeta iznosi: Izvršno 537,98 dan, Krivično 178,28 dana, Parnično 287,25 dana, Prekršajno (Pr-Pr) 358,79 dana i Vanparnično 393,20 dana.</w:t>
      </w:r>
    </w:p>
    <w:p w14:paraId="00029D47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7F584CC9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Ukupan broj predmeta u kojima je nastupila zastara tokom 2023. godine iznosi 52 predmeta a od tog broja 51 predmeta je zastarilo na prekršajnom referatu u fazi „Ips“, zbog nemogućnosti naplate novčane kazne, jer zakonom nije regulisana prinudna naplata.</w:t>
      </w:r>
    </w:p>
    <w:p w14:paraId="7986AA5C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Na krivičnom referatu imamo 1 zastaru zbog nastupanja apsolutne zastare – nedostupnost optuženog ili drugi procesni razlozi.</w:t>
      </w:r>
    </w:p>
    <w:p w14:paraId="3E42966A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U pogledu na zastare u prethodnoj godini u fazi izvršenja prekršajnih sankcija je smanjen broj zastara u odnosu na 2022. godinu za 21 predmet a na krivičnom referatu je smanjen broj zastara sa 6 predmeta u 2022. godini, na 1 predmeta u 2023. godini.</w:t>
      </w:r>
    </w:p>
    <w:p w14:paraId="1B913840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Rezultati u radu na predmetima korupcije su sledeći, u toku godine smo zaprimili ukupno 3 predmeta a riješili smo 6 predmeta, tako da na kraju 2023. godine imamo 1 neriješeni predmeta korupcije.</w:t>
      </w:r>
    </w:p>
    <w:p w14:paraId="2D27BDA0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68A27CD0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Dana 12.09.2023. godine, održan je sastanak sa 2 notara koji rade na području djelovanja ovog suda i koji su zaduženi ostavinskim predmetima našeg suda. Dnevni red sastanka je bio analiza neriješenih ostavinskih predmeta, ocjena saradnje suda sa notarima kao povjerenicima, ključni problemi u radu notara koji utiču na trajanje ostavinskog postupka, te utvrđenje mjera za prevazilaženje i identifikovanje problema.</w:t>
      </w:r>
    </w:p>
    <w:p w14:paraId="3C9B21A9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Notar Alma Kumrić izjavila je da rješavanje ostavinskih predmeta usporava to što se prilikom sastavljanja smrtovnice ne nevode tačne adrese nasljednika (navodi se naprimjer da je nasljednik iz Amerike, Zvornika i dr.), navodi da se trudi riješiti što veći broj ostavinskih predmeta, te da su je u rješavanju predmeta dosta usporili predmeti koje je dobila od notara Ilijaza Mehmedovića.      </w:t>
      </w:r>
    </w:p>
    <w:p w14:paraId="26673207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 Konstatovali smo da su svi saglasni da postoje velike migracije stanovništva, teško je doći do adrese nasljednika, a notari su naročito istakli da se ostavine u velikom broju rješavaju za vrijeme godišnjih odmora raseljenih lica u inostranstvu kao i za vrijeme praznika u inostranstvu. U tom periodu ljudi koji su van granica BiH dolaze kućama. Sudije saglasno ističu da je otežan rad na ostavinskim predmetima iz naprijed navedenih razloga i kod suda, a posebno što matičari ne obavljaju svoj posao prema važećim zakonskim propisima a vezano sa sastavljanje smrtovnica.</w:t>
      </w:r>
    </w:p>
    <w:p w14:paraId="5FF70404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2262069D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Kalesija, 10. 6. 2024. godine</w:t>
      </w:r>
    </w:p>
    <w:p w14:paraId="25A483DD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33636C0F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08354CD3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                                                                                 PREDSJEDNIK SUDA</w:t>
      </w:r>
    </w:p>
    <w:p w14:paraId="7FD0F82A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0ECD6855" w14:textId="77777777" w:rsidR="008F60CD" w:rsidRDefault="008F60CD" w:rsidP="008F60C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                                                                                               Dražena Pejanović</w:t>
      </w:r>
    </w:p>
    <w:p w14:paraId="51ED636D" w14:textId="77777777" w:rsidR="008F60CD" w:rsidRDefault="008F60CD" w:rsidP="008F60CD">
      <w:pPr>
        <w:spacing w:after="0" w:line="240" w:lineRule="auto"/>
      </w:pPr>
    </w:p>
    <w:sectPr w:rsidR="008F60CD" w:rsidSect="008F60C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CD"/>
    <w:rsid w:val="008E1635"/>
    <w:rsid w:val="008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1786"/>
  <w15:chartTrackingRefBased/>
  <w15:docId w15:val="{ED5C0DAB-5182-49C9-9ED3-1F587D08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F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Skupština TK</dc:creator>
  <cp:keywords/>
  <dc:description/>
  <cp:lastModifiedBy>Skupština TK</cp:lastModifiedBy>
  <cp:revision>1</cp:revision>
  <dcterms:created xsi:type="dcterms:W3CDTF">2024-06-18T12:48:00Z</dcterms:created>
  <dcterms:modified xsi:type="dcterms:W3CDTF">2024-06-18T12:50:00Z</dcterms:modified>
</cp:coreProperties>
</file>